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6DC0" w14:textId="77777777" w:rsidR="009B05C1" w:rsidRPr="009B05C1" w:rsidRDefault="009B05C1" w:rsidP="009B05C1">
      <w:pPr>
        <w:spacing w:after="0"/>
        <w:jc w:val="center"/>
        <w:rPr>
          <w:b/>
          <w:bCs/>
          <w:lang w:val="en-US"/>
        </w:rPr>
      </w:pPr>
    </w:p>
    <w:p w14:paraId="59922365" w14:textId="610A7469" w:rsidR="000E2690" w:rsidRPr="009B05C1" w:rsidRDefault="000E2690" w:rsidP="000E2690">
      <w:pPr>
        <w:jc w:val="center"/>
        <w:rPr>
          <w:b/>
          <w:bCs/>
          <w:sz w:val="28"/>
          <w:szCs w:val="28"/>
          <w:lang w:val="en-US"/>
        </w:rPr>
      </w:pPr>
      <w:r w:rsidRPr="000E2690">
        <w:rPr>
          <w:b/>
          <w:bCs/>
          <w:sz w:val="28"/>
          <w:szCs w:val="28"/>
          <w:lang w:val="en-US"/>
        </w:rPr>
        <w:t xml:space="preserve">Reaching Home </w:t>
      </w:r>
      <w:r w:rsidR="00D10D61">
        <w:rPr>
          <w:b/>
          <w:bCs/>
          <w:sz w:val="28"/>
          <w:szCs w:val="28"/>
          <w:lang w:val="en-US"/>
        </w:rPr>
        <w:t>Abbotsford</w:t>
      </w:r>
      <w:r w:rsidRPr="000E2690">
        <w:rPr>
          <w:b/>
          <w:bCs/>
          <w:sz w:val="28"/>
          <w:szCs w:val="28"/>
          <w:lang w:val="en-US"/>
        </w:rPr>
        <w:br/>
        <w:t>2021-202</w:t>
      </w:r>
      <w:r w:rsidR="00D10D61">
        <w:rPr>
          <w:b/>
          <w:bCs/>
          <w:sz w:val="28"/>
          <w:szCs w:val="28"/>
          <w:lang w:val="en-US"/>
        </w:rPr>
        <w:t>2 Call for Proposals</w:t>
      </w:r>
      <w:r w:rsidRPr="000E2690">
        <w:rPr>
          <w:b/>
          <w:bCs/>
          <w:sz w:val="28"/>
          <w:szCs w:val="28"/>
          <w:lang w:val="en-US"/>
        </w:rPr>
        <w:br/>
        <w:t xml:space="preserve">Q&amp;A </w:t>
      </w:r>
      <w:r w:rsidR="009B05C1" w:rsidRPr="009B05C1">
        <w:rPr>
          <w:b/>
          <w:bCs/>
          <w:sz w:val="28"/>
          <w:szCs w:val="28"/>
          <w:lang w:val="en-US"/>
        </w:rPr>
        <w:t>S</w:t>
      </w:r>
      <w:r w:rsidRPr="000E2690">
        <w:rPr>
          <w:b/>
          <w:bCs/>
          <w:sz w:val="28"/>
          <w:szCs w:val="28"/>
          <w:lang w:val="en-US"/>
        </w:rPr>
        <w:t>ession</w:t>
      </w:r>
      <w:r w:rsidR="007B3252">
        <w:rPr>
          <w:b/>
          <w:bCs/>
          <w:sz w:val="28"/>
          <w:szCs w:val="28"/>
          <w:lang w:val="en-US"/>
        </w:rPr>
        <w:t>s</w:t>
      </w:r>
    </w:p>
    <w:p w14:paraId="4AB9E17E" w14:textId="2BCFE1D1" w:rsidR="00585923" w:rsidRDefault="00585923" w:rsidP="00585923">
      <w:pPr>
        <w:spacing w:after="0"/>
        <w:rPr>
          <w:lang w:val="en-US"/>
        </w:rPr>
      </w:pPr>
    </w:p>
    <w:tbl>
      <w:tblPr>
        <w:tblStyle w:val="TableGrid"/>
        <w:tblW w:w="9351" w:type="dxa"/>
        <w:tblLook w:val="04A0" w:firstRow="1" w:lastRow="0" w:firstColumn="1" w:lastColumn="0" w:noHBand="0" w:noVBand="1"/>
      </w:tblPr>
      <w:tblGrid>
        <w:gridCol w:w="4412"/>
        <w:gridCol w:w="4939"/>
      </w:tblGrid>
      <w:tr w:rsidR="009B05C1" w:rsidRPr="00AE6415" w14:paraId="058DD26F" w14:textId="77777777" w:rsidTr="00A469DE">
        <w:tc>
          <w:tcPr>
            <w:tcW w:w="4412" w:type="dxa"/>
            <w:shd w:val="clear" w:color="auto" w:fill="F2F2F2" w:themeFill="background1" w:themeFillShade="F2"/>
          </w:tcPr>
          <w:p w14:paraId="37B81B3D" w14:textId="77777777" w:rsidR="009B05C1" w:rsidRPr="009B05C1" w:rsidRDefault="009B05C1" w:rsidP="00096B86">
            <w:pPr>
              <w:rPr>
                <w:b/>
                <w:bCs/>
                <w:sz w:val="28"/>
                <w:szCs w:val="28"/>
              </w:rPr>
            </w:pPr>
            <w:r w:rsidRPr="009B05C1">
              <w:rPr>
                <w:b/>
                <w:bCs/>
                <w:sz w:val="28"/>
                <w:szCs w:val="28"/>
              </w:rPr>
              <w:t>Question</w:t>
            </w:r>
          </w:p>
        </w:tc>
        <w:tc>
          <w:tcPr>
            <w:tcW w:w="4939" w:type="dxa"/>
            <w:shd w:val="clear" w:color="auto" w:fill="F2F2F2" w:themeFill="background1" w:themeFillShade="F2"/>
          </w:tcPr>
          <w:p w14:paraId="2CF9C881" w14:textId="77777777" w:rsidR="009B05C1" w:rsidRPr="009B05C1" w:rsidRDefault="009B05C1" w:rsidP="00096B86">
            <w:pPr>
              <w:rPr>
                <w:b/>
                <w:bCs/>
                <w:sz w:val="28"/>
                <w:szCs w:val="28"/>
              </w:rPr>
            </w:pPr>
            <w:r w:rsidRPr="009B05C1">
              <w:rPr>
                <w:b/>
                <w:bCs/>
                <w:sz w:val="28"/>
                <w:szCs w:val="28"/>
              </w:rPr>
              <w:t>Answer</w:t>
            </w:r>
          </w:p>
        </w:tc>
      </w:tr>
      <w:tr w:rsidR="009B05C1" w:rsidRPr="00AE6415" w14:paraId="23E4218F" w14:textId="77777777" w:rsidTr="00A469DE">
        <w:tc>
          <w:tcPr>
            <w:tcW w:w="4412" w:type="dxa"/>
            <w:shd w:val="clear" w:color="auto" w:fill="auto"/>
          </w:tcPr>
          <w:p w14:paraId="090A36C4" w14:textId="1728C5BC" w:rsidR="009B05C1" w:rsidRPr="00E8181A" w:rsidRDefault="00E8181A" w:rsidP="00E8181A">
            <w:r>
              <w:t xml:space="preserve">Is the funding just until March 31, </w:t>
            </w:r>
            <w:r w:rsidR="00A469DE">
              <w:t>2022,</w:t>
            </w:r>
            <w:r>
              <w:t xml:space="preserve"> in this call for all</w:t>
            </w:r>
            <w:r w:rsidR="00A469DE">
              <w:t xml:space="preserve"> proposals</w:t>
            </w:r>
            <w:r>
              <w:t>?</w:t>
            </w:r>
          </w:p>
        </w:tc>
        <w:tc>
          <w:tcPr>
            <w:tcW w:w="4939" w:type="dxa"/>
            <w:shd w:val="clear" w:color="auto" w:fill="auto"/>
          </w:tcPr>
          <w:p w14:paraId="67E3A955" w14:textId="4DD5E705" w:rsidR="009B05C1" w:rsidRDefault="00A469DE" w:rsidP="00096B86">
            <w:r>
              <w:t>Yes,</w:t>
            </w:r>
            <w:r w:rsidR="00E8181A">
              <w:t xml:space="preserve"> the funding for all types of projects ends March 31, 2022. There will be additional calls for future years.</w:t>
            </w:r>
          </w:p>
        </w:tc>
      </w:tr>
      <w:tr w:rsidR="009B05C1" w:rsidRPr="00AE6415" w14:paraId="407B1C98" w14:textId="77777777" w:rsidTr="00A469DE">
        <w:tc>
          <w:tcPr>
            <w:tcW w:w="4412" w:type="dxa"/>
            <w:shd w:val="clear" w:color="auto" w:fill="auto"/>
          </w:tcPr>
          <w:p w14:paraId="01E83236" w14:textId="25CAD97F" w:rsidR="009B05C1" w:rsidRPr="004D6A77" w:rsidRDefault="00E8181A" w:rsidP="00096B86">
            <w:r>
              <w:t>Where can I find the full community plan?</w:t>
            </w:r>
          </w:p>
        </w:tc>
        <w:tc>
          <w:tcPr>
            <w:tcW w:w="4939" w:type="dxa"/>
            <w:shd w:val="clear" w:color="auto" w:fill="auto"/>
          </w:tcPr>
          <w:p w14:paraId="16DC6AFE" w14:textId="352A1D78" w:rsidR="009B05C1" w:rsidRDefault="00E8181A" w:rsidP="00096B86">
            <w:r>
              <w:t xml:space="preserve">The plan can be found on the City of Abbotsford’s website </w:t>
            </w:r>
            <w:hyperlink r:id="rId10" w:history="1">
              <w:r w:rsidRPr="00014895">
                <w:rPr>
                  <w:rStyle w:val="Hyperlink"/>
                </w:rPr>
                <w:t>https://www.abbotsford.ca/sites/default/files/2021-07/Abbotsford%202021-2024%20Community%20Plan.pdf</w:t>
              </w:r>
            </w:hyperlink>
          </w:p>
          <w:p w14:paraId="43DAEB21" w14:textId="1C1CC5C9" w:rsidR="00E8181A" w:rsidRPr="004D6A77" w:rsidRDefault="00E8181A" w:rsidP="00096B86"/>
        </w:tc>
      </w:tr>
      <w:tr w:rsidR="009B05C1" w:rsidRPr="00AE6415" w14:paraId="5A9427A6" w14:textId="77777777" w:rsidTr="00A469DE">
        <w:tc>
          <w:tcPr>
            <w:tcW w:w="4412" w:type="dxa"/>
            <w:shd w:val="clear" w:color="auto" w:fill="auto"/>
          </w:tcPr>
          <w:p w14:paraId="4E04C843" w14:textId="48238047" w:rsidR="009B05C1" w:rsidRPr="004D6A77" w:rsidRDefault="00E8181A" w:rsidP="00096B86">
            <w:r>
              <w:t>Is it possible in a services project to have more than one activity (</w:t>
            </w:r>
            <w:r w:rsidR="00A469DE">
              <w:t>e.g.,</w:t>
            </w:r>
            <w:r>
              <w:t xml:space="preserve"> housing services and client supports)?</w:t>
            </w:r>
          </w:p>
        </w:tc>
        <w:tc>
          <w:tcPr>
            <w:tcW w:w="4939" w:type="dxa"/>
            <w:shd w:val="clear" w:color="auto" w:fill="auto"/>
          </w:tcPr>
          <w:p w14:paraId="5E88971A" w14:textId="77777777" w:rsidR="009B05C1" w:rsidRDefault="00E8181A" w:rsidP="00096B86">
            <w:r>
              <w:t>Yes, for the purposes of the community plan the 3 areas related to services are broken down, however, a single project may contain 1 or more of those elements.</w:t>
            </w:r>
          </w:p>
          <w:p w14:paraId="28839266" w14:textId="4FD5F799" w:rsidR="00E8181A" w:rsidRPr="004D6A77" w:rsidRDefault="00E8181A" w:rsidP="00096B86"/>
        </w:tc>
      </w:tr>
      <w:tr w:rsidR="009B05C1" w:rsidRPr="00AE6415" w14:paraId="340B56ED" w14:textId="77777777" w:rsidTr="00A469DE">
        <w:tc>
          <w:tcPr>
            <w:tcW w:w="4412" w:type="dxa"/>
            <w:shd w:val="clear" w:color="auto" w:fill="auto"/>
          </w:tcPr>
          <w:p w14:paraId="737B89D4" w14:textId="01BF7C7D" w:rsidR="009B05C1" w:rsidRDefault="00E8181A" w:rsidP="00096B86">
            <w:r>
              <w:t xml:space="preserve">Is there Indigenous representation on the CAB? </w:t>
            </w:r>
          </w:p>
        </w:tc>
        <w:tc>
          <w:tcPr>
            <w:tcW w:w="4939" w:type="dxa"/>
            <w:shd w:val="clear" w:color="auto" w:fill="auto"/>
          </w:tcPr>
          <w:p w14:paraId="6563784F" w14:textId="4767A2A4" w:rsidR="004E65BD" w:rsidRDefault="00E8181A" w:rsidP="00E23586">
            <w:r>
              <w:t>Yes, there are members of the Indigenous, First Nations and Metis communities on the CAB.  The CE is working to ensure that Indigenous, First Nations and Metis representation on the review team for applications is present and that overall that these communities are engaged in the process.</w:t>
            </w:r>
          </w:p>
        </w:tc>
      </w:tr>
      <w:tr w:rsidR="009B05C1" w:rsidRPr="00AE6415" w14:paraId="66244424" w14:textId="77777777" w:rsidTr="00A469DE">
        <w:tc>
          <w:tcPr>
            <w:tcW w:w="4412" w:type="dxa"/>
            <w:shd w:val="clear" w:color="auto" w:fill="auto"/>
          </w:tcPr>
          <w:p w14:paraId="2823BDA3" w14:textId="7D5BB328" w:rsidR="009B05C1" w:rsidRDefault="00E8181A" w:rsidP="00096B86">
            <w:r>
              <w:t>Is the $1.3 million for this year for both Indigenous and non-Indigenous led organizations</w:t>
            </w:r>
            <w:r w:rsidR="007B3252">
              <w:t xml:space="preserve"> and remaining years around $435,000</w:t>
            </w:r>
            <w:r w:rsidR="00243009">
              <w:t>?</w:t>
            </w:r>
          </w:p>
        </w:tc>
        <w:tc>
          <w:tcPr>
            <w:tcW w:w="4939" w:type="dxa"/>
            <w:shd w:val="clear" w:color="auto" w:fill="auto"/>
          </w:tcPr>
          <w:p w14:paraId="7E2ED813" w14:textId="138477B6" w:rsidR="009B05C1" w:rsidRDefault="00E8181A" w:rsidP="00096B86">
            <w:r>
              <w:t>Yes, that is the total funding for Abbotsford</w:t>
            </w:r>
            <w:r w:rsidR="007B3252">
              <w:t xml:space="preserve"> for this year and future years. If additional funding becomes available in future years, the community plan will be </w:t>
            </w:r>
            <w:r w:rsidR="00A469DE">
              <w:t>updated,</w:t>
            </w:r>
            <w:r w:rsidR="007B3252">
              <w:t xml:space="preserve"> and the updated amounts will be reflected in future calls.</w:t>
            </w:r>
          </w:p>
        </w:tc>
      </w:tr>
      <w:tr w:rsidR="007629A4" w:rsidRPr="00AE6415" w14:paraId="2F751078" w14:textId="77777777" w:rsidTr="00A469DE">
        <w:tc>
          <w:tcPr>
            <w:tcW w:w="4412" w:type="dxa"/>
            <w:shd w:val="clear" w:color="auto" w:fill="auto"/>
          </w:tcPr>
          <w:p w14:paraId="7B0FBD30" w14:textId="1B1F2CC2" w:rsidR="007629A4" w:rsidRDefault="007B3252" w:rsidP="007629A4">
            <w:r>
              <w:rPr>
                <w:rStyle w:val="normaltextrun"/>
                <w:rFonts w:ascii="Calibri" w:hAnsi="Calibri" w:cs="Calibri"/>
                <w:color w:val="000000"/>
                <w:shd w:val="clear" w:color="auto" w:fill="FFFFFF"/>
              </w:rPr>
              <w:t>Can you clarify about sustainability in a capital project?</w:t>
            </w:r>
            <w:r>
              <w:rPr>
                <w:rStyle w:val="eop"/>
                <w:rFonts w:ascii="Calibri" w:hAnsi="Calibri" w:cs="Calibri"/>
                <w:color w:val="000000"/>
                <w:shd w:val="clear" w:color="auto" w:fill="FFFFFF"/>
              </w:rPr>
              <w:t> </w:t>
            </w:r>
          </w:p>
        </w:tc>
        <w:tc>
          <w:tcPr>
            <w:tcW w:w="4939" w:type="dxa"/>
            <w:shd w:val="clear" w:color="auto" w:fill="auto"/>
          </w:tcPr>
          <w:p w14:paraId="25D9CC08" w14:textId="21F5CD7B" w:rsidR="007629A4" w:rsidRDefault="007B3252" w:rsidP="007629A4">
            <w:r>
              <w:rPr>
                <w:rStyle w:val="normaltextrun"/>
                <w:rFonts w:ascii="Calibri" w:hAnsi="Calibri" w:cs="Calibri"/>
                <w:color w:val="000000"/>
                <w:shd w:val="clear" w:color="auto" w:fill="FFFFFF"/>
              </w:rPr>
              <w:t xml:space="preserve">The Reaching Home program </w:t>
            </w:r>
            <w:r>
              <w:rPr>
                <w:rStyle w:val="normaltextrun"/>
                <w:rFonts w:ascii="Calibri" w:hAnsi="Calibri" w:cs="Calibri"/>
                <w:color w:val="000000"/>
                <w:shd w:val="clear" w:color="auto" w:fill="FFFFFF"/>
              </w:rPr>
              <w:t xml:space="preserve"> wants to maintain its investment in Capital, as a result there is not an exit or wind down plan. If you get funded for a capital </w:t>
            </w:r>
            <w:r w:rsidR="00A469DE">
              <w:rPr>
                <w:rStyle w:val="normaltextrun"/>
                <w:rFonts w:ascii="Calibri" w:hAnsi="Calibri" w:cs="Calibri"/>
                <w:color w:val="000000"/>
                <w:shd w:val="clear" w:color="auto" w:fill="FFFFFF"/>
              </w:rPr>
              <w:t>project,</w:t>
            </w:r>
            <w:r>
              <w:rPr>
                <w:rStyle w:val="normaltextrun"/>
                <w:rFonts w:ascii="Calibri" w:hAnsi="Calibri" w:cs="Calibri"/>
                <w:color w:val="000000"/>
                <w:shd w:val="clear" w:color="auto" w:fill="FFFFFF"/>
              </w:rPr>
              <w:t xml:space="preserve"> there is a 5-year monitoring period. Once per year we will contact you to ensure the project is being used for the same purpose. </w:t>
            </w:r>
            <w:r>
              <w:rPr>
                <w:rStyle w:val="eop"/>
                <w:rFonts w:ascii="Calibri" w:hAnsi="Calibri" w:cs="Calibri"/>
                <w:color w:val="000000"/>
                <w:shd w:val="clear" w:color="auto" w:fill="FFFFFF"/>
              </w:rPr>
              <w:t> </w:t>
            </w:r>
          </w:p>
        </w:tc>
      </w:tr>
      <w:tr w:rsidR="007629A4" w:rsidRPr="00AE6415" w14:paraId="340615E2" w14:textId="77777777" w:rsidTr="00A469DE">
        <w:tc>
          <w:tcPr>
            <w:tcW w:w="4412" w:type="dxa"/>
            <w:shd w:val="clear" w:color="auto" w:fill="auto"/>
          </w:tcPr>
          <w:p w14:paraId="00C1E7EC" w14:textId="44222F8F" w:rsidR="007629A4" w:rsidRPr="00AE6415" w:rsidRDefault="007B3252" w:rsidP="007629A4">
            <w:r>
              <w:rPr>
                <w:rStyle w:val="normaltextrun"/>
                <w:rFonts w:ascii="Calibri" w:hAnsi="Calibri" w:cs="Calibri"/>
                <w:color w:val="000000"/>
                <w:shd w:val="clear" w:color="auto" w:fill="FFFFFF"/>
              </w:rPr>
              <w:t>What types of applications are eligible</w:t>
            </w:r>
            <w:r>
              <w:rPr>
                <w:rStyle w:val="normaltextrun"/>
                <w:rFonts w:ascii="Calibri" w:hAnsi="Calibri" w:cs="Calibri"/>
                <w:color w:val="000000"/>
                <w:shd w:val="clear" w:color="auto" w:fill="FFFFFF"/>
              </w:rPr>
              <w:t>?</w:t>
            </w:r>
          </w:p>
        </w:tc>
        <w:tc>
          <w:tcPr>
            <w:tcW w:w="4939" w:type="dxa"/>
            <w:shd w:val="clear" w:color="auto" w:fill="auto"/>
          </w:tcPr>
          <w:p w14:paraId="29EAE954" w14:textId="41F50044" w:rsidR="007629A4" w:rsidRPr="003F3D75" w:rsidRDefault="007B3252" w:rsidP="007629A4">
            <w:r>
              <w:t xml:space="preserve">Please refer to the guides as to eligibility by type of application. In addition, please keep in mind </w:t>
            </w:r>
            <w:r>
              <w:rPr>
                <w:rStyle w:val="normaltextrun"/>
                <w:rFonts w:ascii="Calibri" w:hAnsi="Calibri" w:cs="Calibri"/>
                <w:color w:val="000000"/>
                <w:shd w:val="clear" w:color="auto" w:fill="FFFFFF"/>
              </w:rPr>
              <w:t xml:space="preserve">the Community plan  and how much is available. All projects will be asked to demonstrate how they align with the </w:t>
            </w:r>
            <w:r w:rsidR="00A469DE">
              <w:rPr>
                <w:rStyle w:val="normaltextrun"/>
                <w:rFonts w:ascii="Calibri" w:hAnsi="Calibri" w:cs="Calibri"/>
                <w:color w:val="000000"/>
                <w:shd w:val="clear" w:color="auto" w:fill="FFFFFF"/>
              </w:rPr>
              <w:t>Reaching Home level outcomes</w:t>
            </w:r>
            <w:r w:rsidR="00243009">
              <w:rPr>
                <w:rStyle w:val="normaltextrun"/>
                <w:rFonts w:ascii="Calibri" w:hAnsi="Calibri" w:cs="Calibri"/>
                <w:color w:val="000000"/>
                <w:shd w:val="clear" w:color="auto" w:fill="FFFFFF"/>
              </w:rPr>
              <w:t>.</w:t>
            </w:r>
          </w:p>
        </w:tc>
      </w:tr>
      <w:tr w:rsidR="007629A4" w:rsidRPr="00AE6415" w14:paraId="2F4A6DFA" w14:textId="77777777" w:rsidTr="00A469DE">
        <w:tc>
          <w:tcPr>
            <w:tcW w:w="4412" w:type="dxa"/>
            <w:shd w:val="clear" w:color="auto" w:fill="auto"/>
          </w:tcPr>
          <w:p w14:paraId="68824053" w14:textId="67CBF3CB" w:rsidR="007629A4" w:rsidRPr="00AE6415" w:rsidRDefault="00A469DE" w:rsidP="007629A4">
            <w:r>
              <w:t>If successful, what are the reporting requirements? Is it monthly?</w:t>
            </w:r>
          </w:p>
        </w:tc>
        <w:tc>
          <w:tcPr>
            <w:tcW w:w="4939" w:type="dxa"/>
            <w:shd w:val="clear" w:color="auto" w:fill="auto"/>
          </w:tcPr>
          <w:p w14:paraId="67EAA1B4" w14:textId="2DDB967E" w:rsidR="007629A4" w:rsidRPr="00AE6415" w:rsidRDefault="00A469DE" w:rsidP="007629A4">
            <w:r>
              <w:rPr>
                <w:rStyle w:val="normaltextrun"/>
                <w:rFonts w:ascii="Calibri" w:hAnsi="Calibri" w:cs="Calibri"/>
                <w:color w:val="000000"/>
                <w:shd w:val="clear" w:color="auto" w:fill="FFFFFF"/>
              </w:rPr>
              <w:t>Reporting will be monthly;</w:t>
            </w:r>
            <w:r>
              <w:rPr>
                <w:rStyle w:val="normaltextrun"/>
                <w:rFonts w:ascii="Calibri" w:hAnsi="Calibri" w:cs="Calibri"/>
                <w:color w:val="000000"/>
                <w:shd w:val="clear" w:color="auto" w:fill="FFFFFF"/>
              </w:rPr>
              <w:t xml:space="preserve"> we will supply report templates. For Services, there is an excel workbook that </w:t>
            </w:r>
            <w:r>
              <w:rPr>
                <w:rStyle w:val="normaltextrun"/>
                <w:rFonts w:ascii="Calibri" w:hAnsi="Calibri" w:cs="Calibri"/>
                <w:color w:val="000000"/>
                <w:shd w:val="clear" w:color="auto" w:fill="FFFFFF"/>
              </w:rPr>
              <w:t>CE team</w:t>
            </w:r>
            <w:r>
              <w:rPr>
                <w:rStyle w:val="normaltextrun"/>
                <w:rFonts w:ascii="Calibri" w:hAnsi="Calibri" w:cs="Calibri"/>
                <w:color w:val="000000"/>
                <w:shd w:val="clear" w:color="auto" w:fill="FFFFFF"/>
              </w:rPr>
              <w:t xml:space="preserve"> will walk you through. </w:t>
            </w:r>
            <w:r>
              <w:rPr>
                <w:rStyle w:val="normaltextrun"/>
                <w:rFonts w:ascii="Calibri" w:hAnsi="Calibri" w:cs="Calibri"/>
                <w:color w:val="000000"/>
                <w:shd w:val="clear" w:color="auto" w:fill="FFFFFF"/>
              </w:rPr>
              <w:t xml:space="preserve"> </w:t>
            </w:r>
          </w:p>
        </w:tc>
      </w:tr>
      <w:tr w:rsidR="007629A4" w:rsidRPr="00AE6415" w14:paraId="3CE522EE" w14:textId="77777777" w:rsidTr="00A469DE">
        <w:tc>
          <w:tcPr>
            <w:tcW w:w="4412" w:type="dxa"/>
            <w:shd w:val="clear" w:color="auto" w:fill="auto"/>
          </w:tcPr>
          <w:p w14:paraId="71A69FB2" w14:textId="343ED282" w:rsidR="007629A4" w:rsidRPr="00083D70" w:rsidRDefault="00A469DE" w:rsidP="007629A4">
            <w:r>
              <w:rPr>
                <w:rStyle w:val="normaltextrun"/>
                <w:rFonts w:ascii="Calibri" w:hAnsi="Calibri" w:cs="Calibri"/>
                <w:color w:val="000000"/>
                <w:shd w:val="clear" w:color="auto" w:fill="FFFFFF"/>
              </w:rPr>
              <w:t> If we submit applications and if denied, will it be in its entirety? </w:t>
            </w:r>
          </w:p>
        </w:tc>
        <w:tc>
          <w:tcPr>
            <w:tcW w:w="4939" w:type="dxa"/>
            <w:shd w:val="clear" w:color="auto" w:fill="auto"/>
          </w:tcPr>
          <w:p w14:paraId="2049739D" w14:textId="709EBDCA" w:rsidR="007629A4" w:rsidRDefault="00A469DE" w:rsidP="007629A4">
            <w:r>
              <w:rPr>
                <w:rStyle w:val="normaltextrun"/>
                <w:rFonts w:ascii="Calibri" w:hAnsi="Calibri" w:cs="Calibri"/>
                <w:color w:val="000000"/>
                <w:shd w:val="clear" w:color="auto" w:fill="FFFFFF"/>
              </w:rPr>
              <w:t xml:space="preserve">Reviewers can decide to </w:t>
            </w:r>
            <w:r>
              <w:rPr>
                <w:rStyle w:val="normaltextrun"/>
                <w:rFonts w:ascii="Calibri" w:hAnsi="Calibri" w:cs="Calibri"/>
                <w:color w:val="000000"/>
                <w:shd w:val="clear" w:color="auto" w:fill="FFFFFF"/>
              </w:rPr>
              <w:t xml:space="preserve">fully fund projects, fund a portion of a project, put a project on an alternate or B List should more funding become available or not </w:t>
            </w:r>
            <w:r>
              <w:rPr>
                <w:rStyle w:val="normaltextrun"/>
                <w:rFonts w:ascii="Calibri" w:hAnsi="Calibri" w:cs="Calibri"/>
                <w:color w:val="000000"/>
                <w:shd w:val="clear" w:color="auto" w:fill="FFFFFF"/>
              </w:rPr>
              <w:lastRenderedPageBreak/>
              <w:t xml:space="preserve">fund at all. </w:t>
            </w:r>
            <w:r>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All applicants will receive notice in October as to the status of their application and if a project is recommended at less than requested, staff will work with applicants as to how to revise their budgets and workplans accordingly. Therefore, it is important to note in your application if you do not receive all funding requested, what is the absolute necessary amount/activities you would need. </w:t>
            </w:r>
            <w:r>
              <w:rPr>
                <w:rStyle w:val="eop"/>
                <w:rFonts w:ascii="Calibri" w:hAnsi="Calibri" w:cs="Calibri"/>
                <w:color w:val="000000"/>
                <w:shd w:val="clear" w:color="auto" w:fill="FFFFFF"/>
              </w:rPr>
              <w:t> </w:t>
            </w:r>
          </w:p>
        </w:tc>
      </w:tr>
      <w:tr w:rsidR="00A469DE" w:rsidRPr="00AE6415" w14:paraId="6A93DE80" w14:textId="77777777" w:rsidTr="00A469DE">
        <w:tc>
          <w:tcPr>
            <w:tcW w:w="4412" w:type="dxa"/>
            <w:shd w:val="clear" w:color="auto" w:fill="auto"/>
          </w:tcPr>
          <w:p w14:paraId="04256327" w14:textId="1A5818A3" w:rsidR="00A469DE" w:rsidRPr="00083D70" w:rsidRDefault="00A469DE" w:rsidP="00A469DE">
            <w:r>
              <w:rPr>
                <w:rStyle w:val="normaltextrun"/>
                <w:rFonts w:ascii="Calibri" w:hAnsi="Calibri" w:cs="Calibri"/>
                <w:color w:val="000000"/>
                <w:shd w:val="clear" w:color="auto" w:fill="FFFFFF"/>
              </w:rPr>
              <w:lastRenderedPageBreak/>
              <w:t>What are the allowed administrative costs?</w:t>
            </w:r>
            <w:r>
              <w:rPr>
                <w:rStyle w:val="eop"/>
                <w:rFonts w:ascii="Calibri" w:hAnsi="Calibri" w:cs="Calibri"/>
                <w:color w:val="000000"/>
                <w:shd w:val="clear" w:color="auto" w:fill="FFFFFF"/>
              </w:rPr>
              <w:t> </w:t>
            </w:r>
          </w:p>
        </w:tc>
        <w:tc>
          <w:tcPr>
            <w:tcW w:w="4939" w:type="dxa"/>
            <w:shd w:val="clear" w:color="auto" w:fill="auto"/>
          </w:tcPr>
          <w:p w14:paraId="295986C4" w14:textId="1A3A42A1" w:rsidR="00A469DE" w:rsidRDefault="00A469DE" w:rsidP="00A469DE">
            <w:r>
              <w:t>15% of your entire Reaching Home budget is what is allowed for administrative costs.</w:t>
            </w:r>
          </w:p>
        </w:tc>
      </w:tr>
      <w:tr w:rsidR="00A469DE" w:rsidRPr="00AE6415" w14:paraId="71F594C9" w14:textId="77777777" w:rsidTr="00A469DE">
        <w:trPr>
          <w:trHeight w:val="3051"/>
        </w:trPr>
        <w:tc>
          <w:tcPr>
            <w:tcW w:w="4412" w:type="dxa"/>
            <w:shd w:val="clear" w:color="auto" w:fill="auto"/>
          </w:tcPr>
          <w:p w14:paraId="7757E1CE" w14:textId="363F77CC" w:rsidR="00A469DE" w:rsidRPr="00083D70" w:rsidRDefault="00A469DE" w:rsidP="00A469DE">
            <w:r>
              <w:t>How many applications can I submit?</w:t>
            </w:r>
          </w:p>
        </w:tc>
        <w:tc>
          <w:tcPr>
            <w:tcW w:w="4939" w:type="dxa"/>
            <w:shd w:val="clear" w:color="auto" w:fill="auto"/>
          </w:tcPr>
          <w:p w14:paraId="28F87966" w14:textId="252CF4AB" w:rsidR="00A469DE" w:rsidRDefault="00A469DE" w:rsidP="00A469DE">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There is no</w:t>
            </w:r>
            <w:r>
              <w:rPr>
                <w:rStyle w:val="normaltextrun"/>
                <w:rFonts w:ascii="Calibri" w:hAnsi="Calibri" w:cs="Calibri"/>
                <w:color w:val="000000"/>
                <w:shd w:val="clear" w:color="auto" w:fill="FFFFFF"/>
              </w:rPr>
              <w:t xml:space="preserve"> limit as to the number of applications you can submit within or between categories, however, each application will be assessed on its own merit and should be independent of one another (i.e., one project  cannot be reliant on receiving Reaching Home funds from a separate submission). Reaching Home funds cannot match themselves (see the guides and directives around “stacking”).</w:t>
            </w:r>
          </w:p>
          <w:p w14:paraId="007E704E" w14:textId="77777777" w:rsidR="00A469DE" w:rsidRDefault="00A469DE" w:rsidP="00A469DE">
            <w:pPr>
              <w:rPr>
                <w:rStyle w:val="normaltextrun"/>
                <w:rFonts w:ascii="Calibri" w:hAnsi="Calibri" w:cs="Calibri"/>
                <w:color w:val="000000"/>
                <w:shd w:val="clear" w:color="auto" w:fill="FFFFFF"/>
              </w:rPr>
            </w:pPr>
          </w:p>
          <w:p w14:paraId="017EA110" w14:textId="0E5F0377" w:rsidR="00A469DE" w:rsidRDefault="00A469DE" w:rsidP="00A469DE">
            <w:r>
              <w:rPr>
                <w:rStyle w:val="normaltextrun"/>
                <w:rFonts w:ascii="Calibri" w:hAnsi="Calibri" w:cs="Calibri"/>
                <w:color w:val="000000"/>
                <w:shd w:val="clear" w:color="auto" w:fill="FFFFFF"/>
              </w:rPr>
              <w:t xml:space="preserve"> </w:t>
            </w:r>
          </w:p>
        </w:tc>
      </w:tr>
    </w:tbl>
    <w:p w14:paraId="24AD43EC" w14:textId="26138702" w:rsidR="009B05C1" w:rsidRDefault="009B05C1"/>
    <w:p w14:paraId="562F1C23" w14:textId="68573E55" w:rsidR="009B05C1" w:rsidRDefault="009B05C1"/>
    <w:p w14:paraId="75FF37FD" w14:textId="77777777" w:rsidR="009B05C1" w:rsidRDefault="009B05C1"/>
    <w:sectPr w:rsidR="009B05C1" w:rsidSect="00D10D61">
      <w:headerReference w:type="default" r:id="rId11"/>
      <w:footerReference w:type="default" r:id="rId12"/>
      <w:pgSz w:w="11906" w:h="16838"/>
      <w:pgMar w:top="1205" w:right="1440" w:bottom="1440" w:left="1440"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BA79A" w14:textId="77777777" w:rsidR="00765188" w:rsidRDefault="00765188" w:rsidP="000E2690">
      <w:pPr>
        <w:spacing w:after="0" w:line="240" w:lineRule="auto"/>
      </w:pPr>
      <w:r>
        <w:separator/>
      </w:r>
    </w:p>
  </w:endnote>
  <w:endnote w:type="continuationSeparator" w:id="0">
    <w:p w14:paraId="694AD7B5" w14:textId="77777777" w:rsidR="00765188" w:rsidRDefault="00765188" w:rsidP="000E2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5166" w14:textId="308EAA8B" w:rsidR="000E2690" w:rsidRDefault="000E2690" w:rsidP="000E2690">
    <w:pPr>
      <w:pStyle w:val="Footer"/>
      <w:jc w:val="center"/>
    </w:pPr>
  </w:p>
  <w:p w14:paraId="71B3422E" w14:textId="77777777" w:rsidR="000E2690" w:rsidRDefault="000E2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658AA" w14:textId="77777777" w:rsidR="00765188" w:rsidRDefault="00765188" w:rsidP="000E2690">
      <w:pPr>
        <w:spacing w:after="0" w:line="240" w:lineRule="auto"/>
      </w:pPr>
      <w:r>
        <w:separator/>
      </w:r>
    </w:p>
  </w:footnote>
  <w:footnote w:type="continuationSeparator" w:id="0">
    <w:p w14:paraId="328F1F4E" w14:textId="77777777" w:rsidR="00765188" w:rsidRDefault="00765188" w:rsidP="000E2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CEEF" w14:textId="76C41D1D" w:rsidR="000E2690" w:rsidRDefault="00D10D61" w:rsidP="000E2690">
    <w:pPr>
      <w:pStyle w:val="Header"/>
      <w:jc w:val="center"/>
    </w:pPr>
    <w:r>
      <w:rPr>
        <w:noProof/>
      </w:rPr>
      <w:drawing>
        <wp:anchor distT="0" distB="0" distL="114300" distR="114300" simplePos="0" relativeHeight="251658240" behindDoc="0" locked="0" layoutInCell="1" allowOverlap="1" wp14:anchorId="5C9DC5F0" wp14:editId="57717B97">
          <wp:simplePos x="0" y="0"/>
          <wp:positionH relativeFrom="column">
            <wp:posOffset>1318260</wp:posOffset>
          </wp:positionH>
          <wp:positionV relativeFrom="paragraph">
            <wp:posOffset>0</wp:posOffset>
          </wp:positionV>
          <wp:extent cx="3093720" cy="424962"/>
          <wp:effectExtent l="0" t="0" r="0" b="0"/>
          <wp:wrapTopAndBottom/>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93720" cy="4249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D54FB"/>
    <w:multiLevelType w:val="hybridMultilevel"/>
    <w:tmpl w:val="680AB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134D74"/>
    <w:multiLevelType w:val="hybridMultilevel"/>
    <w:tmpl w:val="5E64AE96"/>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90"/>
    <w:rsid w:val="00014AA8"/>
    <w:rsid w:val="00027F77"/>
    <w:rsid w:val="0003064E"/>
    <w:rsid w:val="00056D04"/>
    <w:rsid w:val="00074508"/>
    <w:rsid w:val="00083D70"/>
    <w:rsid w:val="000B5916"/>
    <w:rsid w:val="000C0954"/>
    <w:rsid w:val="000C0BDA"/>
    <w:rsid w:val="000C6C51"/>
    <w:rsid w:val="000E2690"/>
    <w:rsid w:val="000E5359"/>
    <w:rsid w:val="00111722"/>
    <w:rsid w:val="001138F1"/>
    <w:rsid w:val="0011799F"/>
    <w:rsid w:val="00134768"/>
    <w:rsid w:val="00142DB6"/>
    <w:rsid w:val="00154E26"/>
    <w:rsid w:val="00164EEE"/>
    <w:rsid w:val="00167EB3"/>
    <w:rsid w:val="001717E0"/>
    <w:rsid w:val="00174E50"/>
    <w:rsid w:val="001876B6"/>
    <w:rsid w:val="001929C5"/>
    <w:rsid w:val="001955E4"/>
    <w:rsid w:val="0019751D"/>
    <w:rsid w:val="001B136B"/>
    <w:rsid w:val="001B2051"/>
    <w:rsid w:val="001B3B6F"/>
    <w:rsid w:val="001B49D0"/>
    <w:rsid w:val="0020020A"/>
    <w:rsid w:val="00227324"/>
    <w:rsid w:val="002273A7"/>
    <w:rsid w:val="00235A54"/>
    <w:rsid w:val="00243009"/>
    <w:rsid w:val="00246A26"/>
    <w:rsid w:val="00254E2F"/>
    <w:rsid w:val="002645CB"/>
    <w:rsid w:val="00266BED"/>
    <w:rsid w:val="002810B8"/>
    <w:rsid w:val="00295A6C"/>
    <w:rsid w:val="0029731E"/>
    <w:rsid w:val="00297BF0"/>
    <w:rsid w:val="002A1270"/>
    <w:rsid w:val="002A416B"/>
    <w:rsid w:val="002A4D63"/>
    <w:rsid w:val="002B1655"/>
    <w:rsid w:val="002B1C58"/>
    <w:rsid w:val="002B4113"/>
    <w:rsid w:val="002E40D8"/>
    <w:rsid w:val="002F25A2"/>
    <w:rsid w:val="00307F43"/>
    <w:rsid w:val="00322AFC"/>
    <w:rsid w:val="0032677D"/>
    <w:rsid w:val="00334BE9"/>
    <w:rsid w:val="00344B43"/>
    <w:rsid w:val="003600F7"/>
    <w:rsid w:val="0036044C"/>
    <w:rsid w:val="00362FF8"/>
    <w:rsid w:val="00365AA7"/>
    <w:rsid w:val="003A7FFC"/>
    <w:rsid w:val="003B2992"/>
    <w:rsid w:val="003B5E9B"/>
    <w:rsid w:val="003C262B"/>
    <w:rsid w:val="003E1B78"/>
    <w:rsid w:val="003E388B"/>
    <w:rsid w:val="003F3BC4"/>
    <w:rsid w:val="0043714C"/>
    <w:rsid w:val="00453222"/>
    <w:rsid w:val="00476AC6"/>
    <w:rsid w:val="004947D0"/>
    <w:rsid w:val="00496E75"/>
    <w:rsid w:val="004A3083"/>
    <w:rsid w:val="004D2915"/>
    <w:rsid w:val="004D5AC0"/>
    <w:rsid w:val="004D6A77"/>
    <w:rsid w:val="004E65BD"/>
    <w:rsid w:val="004F7E6F"/>
    <w:rsid w:val="00535328"/>
    <w:rsid w:val="005432FC"/>
    <w:rsid w:val="00553E4C"/>
    <w:rsid w:val="0056479C"/>
    <w:rsid w:val="005740A4"/>
    <w:rsid w:val="00585923"/>
    <w:rsid w:val="005936A3"/>
    <w:rsid w:val="00595E9E"/>
    <w:rsid w:val="005A19A2"/>
    <w:rsid w:val="005C2BF0"/>
    <w:rsid w:val="005C4E50"/>
    <w:rsid w:val="00605BA4"/>
    <w:rsid w:val="00622350"/>
    <w:rsid w:val="006325E5"/>
    <w:rsid w:val="006337C9"/>
    <w:rsid w:val="00643F8D"/>
    <w:rsid w:val="00661FDD"/>
    <w:rsid w:val="0066382C"/>
    <w:rsid w:val="00691F5D"/>
    <w:rsid w:val="006A2FAE"/>
    <w:rsid w:val="006B11C4"/>
    <w:rsid w:val="006C0567"/>
    <w:rsid w:val="007175D1"/>
    <w:rsid w:val="00724DE2"/>
    <w:rsid w:val="0073367B"/>
    <w:rsid w:val="0073484E"/>
    <w:rsid w:val="00746153"/>
    <w:rsid w:val="007461D1"/>
    <w:rsid w:val="007629A4"/>
    <w:rsid w:val="00765188"/>
    <w:rsid w:val="00773E9B"/>
    <w:rsid w:val="007822AC"/>
    <w:rsid w:val="007A16E1"/>
    <w:rsid w:val="007A5574"/>
    <w:rsid w:val="007B11F6"/>
    <w:rsid w:val="007B3252"/>
    <w:rsid w:val="007B41FC"/>
    <w:rsid w:val="007D1AEF"/>
    <w:rsid w:val="007D3CF8"/>
    <w:rsid w:val="007D73AE"/>
    <w:rsid w:val="007E0160"/>
    <w:rsid w:val="007E562D"/>
    <w:rsid w:val="007E56AE"/>
    <w:rsid w:val="008140FB"/>
    <w:rsid w:val="008269C2"/>
    <w:rsid w:val="00833FE8"/>
    <w:rsid w:val="00834206"/>
    <w:rsid w:val="00836214"/>
    <w:rsid w:val="00860210"/>
    <w:rsid w:val="008B3002"/>
    <w:rsid w:val="008D13CF"/>
    <w:rsid w:val="008D2E6D"/>
    <w:rsid w:val="008E254E"/>
    <w:rsid w:val="008F4C4C"/>
    <w:rsid w:val="008F51B3"/>
    <w:rsid w:val="009037CF"/>
    <w:rsid w:val="00912623"/>
    <w:rsid w:val="00914A60"/>
    <w:rsid w:val="00934034"/>
    <w:rsid w:val="009502B2"/>
    <w:rsid w:val="009572DB"/>
    <w:rsid w:val="00977099"/>
    <w:rsid w:val="00977C53"/>
    <w:rsid w:val="00986071"/>
    <w:rsid w:val="00986A64"/>
    <w:rsid w:val="00987A1B"/>
    <w:rsid w:val="009A4472"/>
    <w:rsid w:val="009B05C1"/>
    <w:rsid w:val="009B6DB2"/>
    <w:rsid w:val="009D441C"/>
    <w:rsid w:val="009D6A10"/>
    <w:rsid w:val="009D771B"/>
    <w:rsid w:val="009E4B5C"/>
    <w:rsid w:val="00A4497B"/>
    <w:rsid w:val="00A46296"/>
    <w:rsid w:val="00A469DE"/>
    <w:rsid w:val="00A57D96"/>
    <w:rsid w:val="00A63037"/>
    <w:rsid w:val="00A65045"/>
    <w:rsid w:val="00A74F9D"/>
    <w:rsid w:val="00A95410"/>
    <w:rsid w:val="00AA2F9B"/>
    <w:rsid w:val="00AA769F"/>
    <w:rsid w:val="00AA7A7B"/>
    <w:rsid w:val="00AA7E6B"/>
    <w:rsid w:val="00AB4C2E"/>
    <w:rsid w:val="00AB57E4"/>
    <w:rsid w:val="00AC142E"/>
    <w:rsid w:val="00AF0B65"/>
    <w:rsid w:val="00AF1C77"/>
    <w:rsid w:val="00B1101B"/>
    <w:rsid w:val="00B117DA"/>
    <w:rsid w:val="00B11A5D"/>
    <w:rsid w:val="00B23881"/>
    <w:rsid w:val="00B25CA2"/>
    <w:rsid w:val="00B33FDF"/>
    <w:rsid w:val="00B349D0"/>
    <w:rsid w:val="00B46832"/>
    <w:rsid w:val="00B532AF"/>
    <w:rsid w:val="00B53A15"/>
    <w:rsid w:val="00B62A9B"/>
    <w:rsid w:val="00B900CA"/>
    <w:rsid w:val="00B957D3"/>
    <w:rsid w:val="00B974C2"/>
    <w:rsid w:val="00BB0957"/>
    <w:rsid w:val="00BC697C"/>
    <w:rsid w:val="00BD4DE6"/>
    <w:rsid w:val="00C16161"/>
    <w:rsid w:val="00C21056"/>
    <w:rsid w:val="00C439AC"/>
    <w:rsid w:val="00C52D15"/>
    <w:rsid w:val="00C76D4D"/>
    <w:rsid w:val="00CC14F8"/>
    <w:rsid w:val="00CC29C6"/>
    <w:rsid w:val="00CC2FA0"/>
    <w:rsid w:val="00CF2152"/>
    <w:rsid w:val="00D060A0"/>
    <w:rsid w:val="00D10D61"/>
    <w:rsid w:val="00D21AC2"/>
    <w:rsid w:val="00D2765C"/>
    <w:rsid w:val="00D30DF5"/>
    <w:rsid w:val="00D33763"/>
    <w:rsid w:val="00D418DE"/>
    <w:rsid w:val="00D57B38"/>
    <w:rsid w:val="00D67AF0"/>
    <w:rsid w:val="00D82559"/>
    <w:rsid w:val="00DB7438"/>
    <w:rsid w:val="00E03263"/>
    <w:rsid w:val="00E0341F"/>
    <w:rsid w:val="00E0429C"/>
    <w:rsid w:val="00E10B07"/>
    <w:rsid w:val="00E13054"/>
    <w:rsid w:val="00E171E2"/>
    <w:rsid w:val="00E23586"/>
    <w:rsid w:val="00E2493A"/>
    <w:rsid w:val="00E33D23"/>
    <w:rsid w:val="00E33E6C"/>
    <w:rsid w:val="00E50666"/>
    <w:rsid w:val="00E529A7"/>
    <w:rsid w:val="00E568BD"/>
    <w:rsid w:val="00E8181A"/>
    <w:rsid w:val="00EC08DE"/>
    <w:rsid w:val="00EC44E1"/>
    <w:rsid w:val="00EC6DBE"/>
    <w:rsid w:val="00ED65B1"/>
    <w:rsid w:val="00EE57F0"/>
    <w:rsid w:val="00F00EEE"/>
    <w:rsid w:val="00F0351E"/>
    <w:rsid w:val="00F137FF"/>
    <w:rsid w:val="00F248D5"/>
    <w:rsid w:val="00F40B34"/>
    <w:rsid w:val="00F4280B"/>
    <w:rsid w:val="00F458F2"/>
    <w:rsid w:val="00F4700A"/>
    <w:rsid w:val="00F5413B"/>
    <w:rsid w:val="00F55FF3"/>
    <w:rsid w:val="00F81116"/>
    <w:rsid w:val="00FA745C"/>
    <w:rsid w:val="00FC4974"/>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BD367"/>
  <w15:chartTrackingRefBased/>
  <w15:docId w15:val="{9CA6F7F3-8F5B-410A-BB66-3B14C860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690"/>
  </w:style>
  <w:style w:type="paragraph" w:styleId="Footer">
    <w:name w:val="footer"/>
    <w:basedOn w:val="Normal"/>
    <w:link w:val="FooterChar"/>
    <w:uiPriority w:val="99"/>
    <w:unhideWhenUsed/>
    <w:rsid w:val="000E2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690"/>
  </w:style>
  <w:style w:type="paragraph" w:styleId="ListParagraph">
    <w:name w:val="List Paragraph"/>
    <w:basedOn w:val="Normal"/>
    <w:uiPriority w:val="34"/>
    <w:qFormat/>
    <w:rsid w:val="009B05C1"/>
    <w:pPr>
      <w:ind w:left="720"/>
      <w:contextualSpacing/>
    </w:pPr>
  </w:style>
  <w:style w:type="table" w:styleId="TableGrid">
    <w:name w:val="Table Grid"/>
    <w:basedOn w:val="TableNormal"/>
    <w:uiPriority w:val="39"/>
    <w:rsid w:val="009B05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81A"/>
    <w:rPr>
      <w:color w:val="0563C1" w:themeColor="hyperlink"/>
      <w:u w:val="single"/>
    </w:rPr>
  </w:style>
  <w:style w:type="character" w:styleId="UnresolvedMention">
    <w:name w:val="Unresolved Mention"/>
    <w:basedOn w:val="DefaultParagraphFont"/>
    <w:uiPriority w:val="99"/>
    <w:semiHidden/>
    <w:unhideWhenUsed/>
    <w:rsid w:val="00E8181A"/>
    <w:rPr>
      <w:color w:val="605E5C"/>
      <w:shd w:val="clear" w:color="auto" w:fill="E1DFDD"/>
    </w:rPr>
  </w:style>
  <w:style w:type="character" w:customStyle="1" w:styleId="normaltextrun">
    <w:name w:val="normaltextrun"/>
    <w:basedOn w:val="DefaultParagraphFont"/>
    <w:rsid w:val="007B3252"/>
  </w:style>
  <w:style w:type="character" w:customStyle="1" w:styleId="eop">
    <w:name w:val="eop"/>
    <w:basedOn w:val="DefaultParagraphFont"/>
    <w:rsid w:val="007B3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bbotsford.ca/sites/default/files/2021-07/Abbotsford%202021-2024%20Community%20Pla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24B0E4D6D6B4C911471590A71FA30" ma:contentTypeVersion="6" ma:contentTypeDescription="Create a new document." ma:contentTypeScope="" ma:versionID="323a7225e7fe0cbf6e80bc37187100b1">
  <xsd:schema xmlns:xsd="http://www.w3.org/2001/XMLSchema" xmlns:xs="http://www.w3.org/2001/XMLSchema" xmlns:p="http://schemas.microsoft.com/office/2006/metadata/properties" xmlns:ns2="e14ea489-3971-4cc5-bf33-7c38185842d2" xmlns:ns3="32751f87-795a-4dd8-8a5b-8ca1ac4c5983" targetNamespace="http://schemas.microsoft.com/office/2006/metadata/properties" ma:root="true" ma:fieldsID="d96c0465699f36ea15d31028939f4cfe" ns2:_="" ns3:_="">
    <xsd:import namespace="e14ea489-3971-4cc5-bf33-7c38185842d2"/>
    <xsd:import namespace="32751f87-795a-4dd8-8a5b-8ca1ac4c59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ea489-3971-4cc5-bf33-7c3818584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751f87-795a-4dd8-8a5b-8ca1ac4c59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91870E-9142-4A09-80D2-A21B3B544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ea489-3971-4cc5-bf33-7c38185842d2"/>
    <ds:schemaRef ds:uri="32751f87-795a-4dd8-8a5b-8ca1ac4c5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BF5947-A36A-4F8D-B200-F2CE3CA07D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8B3D77-0C66-4F57-9C97-2D55AAA1B3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Koslowsky</dc:creator>
  <cp:keywords/>
  <dc:description/>
  <cp:lastModifiedBy>Lisa Nissanov</cp:lastModifiedBy>
  <cp:revision>2</cp:revision>
  <dcterms:created xsi:type="dcterms:W3CDTF">2021-08-09T21:42:00Z</dcterms:created>
  <dcterms:modified xsi:type="dcterms:W3CDTF">2021-08-09T21:42:00Z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0x01010013724B0E4D6D6B4C911471590A71FA30</vt:lpwstr>
  </property>
</Properties>
</file>